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D1745" w14:textId="77777777" w:rsidR="002F7B77" w:rsidRPr="00C063BC" w:rsidRDefault="00CD6897" w:rsidP="002F7B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F7B77" w:rsidRPr="00C063BC">
        <w:rPr>
          <w:rFonts w:ascii="Corbel" w:hAnsi="Corbel"/>
          <w:bCs/>
          <w:i/>
        </w:rPr>
        <w:t>Załącznik nr 1.5 do Zarządzenia Rektora UR  nr 12/2019</w:t>
      </w:r>
    </w:p>
    <w:p w14:paraId="17829473" w14:textId="77777777" w:rsidR="002F7B77" w:rsidRPr="00C063BC" w:rsidRDefault="002F7B77" w:rsidP="002F7B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063BC">
        <w:rPr>
          <w:rFonts w:ascii="Corbel" w:hAnsi="Corbel"/>
          <w:b/>
          <w:smallCaps/>
          <w:sz w:val="24"/>
          <w:szCs w:val="24"/>
        </w:rPr>
        <w:t>SYLABUS</w:t>
      </w:r>
    </w:p>
    <w:p w14:paraId="0785C637" w14:textId="77777777" w:rsidR="002F7B77" w:rsidRPr="00C063BC" w:rsidRDefault="002F7B77" w:rsidP="002F7B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063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063BC">
        <w:rPr>
          <w:rFonts w:ascii="Corbel" w:hAnsi="Corbel"/>
          <w:smallCaps/>
          <w:sz w:val="24"/>
          <w:szCs w:val="24"/>
        </w:rPr>
        <w:t>2020-2022</w:t>
      </w:r>
    </w:p>
    <w:p w14:paraId="3211D591" w14:textId="77777777" w:rsidR="002F7B77" w:rsidRPr="00C063BC" w:rsidRDefault="002F7B77" w:rsidP="002F7B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063BC">
        <w:rPr>
          <w:rFonts w:ascii="Corbel" w:hAnsi="Corbel"/>
          <w:sz w:val="20"/>
          <w:szCs w:val="20"/>
        </w:rPr>
        <w:t>Rok akademicki: 2021/2022</w:t>
      </w:r>
    </w:p>
    <w:p w14:paraId="4DC32081" w14:textId="788FAF82" w:rsidR="0085747A" w:rsidRPr="00C063BC" w:rsidRDefault="0085747A" w:rsidP="002F7B7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1C2E481" w14:textId="67CD4DA2" w:rsidR="0085747A" w:rsidRDefault="0085747A" w:rsidP="004B7E15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Podstawowe </w:t>
      </w:r>
      <w:r w:rsidR="00445970" w:rsidRPr="00C063BC">
        <w:rPr>
          <w:rFonts w:ascii="Corbel" w:hAnsi="Corbel"/>
          <w:szCs w:val="24"/>
        </w:rPr>
        <w:t>informacje o przedmiocie</w:t>
      </w:r>
      <w:r w:rsidR="004B7E15">
        <w:rPr>
          <w:rFonts w:ascii="Corbel" w:hAnsi="Corbel"/>
          <w:szCs w:val="24"/>
        </w:rPr>
        <w:t xml:space="preserve"> </w:t>
      </w:r>
    </w:p>
    <w:p w14:paraId="62155791" w14:textId="77777777" w:rsidR="004B7E15" w:rsidRPr="00C063BC" w:rsidRDefault="004B7E15" w:rsidP="004B7E1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063BC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C735E21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Analiza satysfakcji konsumentów</w:t>
            </w:r>
          </w:p>
        </w:tc>
      </w:tr>
      <w:tr w:rsidR="0085747A" w:rsidRPr="00C063BC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3566611A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E/II/EUB/C-1.3a</w:t>
            </w:r>
          </w:p>
        </w:tc>
      </w:tr>
      <w:tr w:rsidR="0085747A" w:rsidRPr="00C063BC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C063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063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063BC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6D99038B" w:rsidR="0085747A" w:rsidRPr="00C063BC" w:rsidRDefault="002F7B77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063BC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063BC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C063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C0D1431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F7B77" w:rsidRPr="00C063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063BC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063BC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1FE510AA" w:rsidR="0085747A" w:rsidRPr="00C063BC" w:rsidRDefault="00511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C063BC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063BC">
              <w:rPr>
                <w:rFonts w:ascii="Corbel" w:hAnsi="Corbel"/>
                <w:sz w:val="24"/>
                <w:szCs w:val="24"/>
              </w:rPr>
              <w:t>/y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EFC4889" w:rsidR="0085747A" w:rsidRPr="00C063BC" w:rsidRDefault="002F7B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063BC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063BC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C063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3D6EAADE" w:rsidR="00923D7D" w:rsidRPr="00C063BC" w:rsidRDefault="009755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063B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063BC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C063BC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C063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* </w:t>
      </w:r>
      <w:r w:rsidRPr="00C063BC">
        <w:rPr>
          <w:rFonts w:ascii="Corbel" w:hAnsi="Corbel"/>
          <w:i/>
          <w:sz w:val="24"/>
          <w:szCs w:val="24"/>
        </w:rPr>
        <w:t>-</w:t>
      </w:r>
      <w:r w:rsidR="00B90885" w:rsidRPr="00C063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063BC">
        <w:rPr>
          <w:rFonts w:ascii="Corbel" w:hAnsi="Corbel"/>
          <w:b w:val="0"/>
          <w:sz w:val="24"/>
          <w:szCs w:val="24"/>
        </w:rPr>
        <w:t>e,</w:t>
      </w:r>
      <w:r w:rsidRPr="00C063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063BC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C063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1.</w:t>
      </w:r>
      <w:r w:rsidR="00E22FBC" w:rsidRPr="00C063BC">
        <w:rPr>
          <w:rFonts w:ascii="Corbel" w:hAnsi="Corbel"/>
          <w:sz w:val="24"/>
          <w:szCs w:val="24"/>
        </w:rPr>
        <w:t>1</w:t>
      </w:r>
      <w:r w:rsidRPr="00C063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C063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063BC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C063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(</w:t>
            </w:r>
            <w:r w:rsidR="00363F78" w:rsidRPr="00C063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63BC">
              <w:rPr>
                <w:rFonts w:ascii="Corbel" w:hAnsi="Corbel"/>
                <w:b/>
                <w:szCs w:val="24"/>
              </w:rPr>
              <w:t>Liczba pkt</w:t>
            </w:r>
            <w:r w:rsidR="00B90885" w:rsidRPr="00C063BC">
              <w:rPr>
                <w:rFonts w:ascii="Corbel" w:hAnsi="Corbel"/>
                <w:b/>
                <w:szCs w:val="24"/>
              </w:rPr>
              <w:t>.</w:t>
            </w:r>
            <w:r w:rsidRPr="00C063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063BC" w14:paraId="0BD04376" w14:textId="77777777" w:rsidTr="002F7B7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2A32DA7D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C3AF64F" w:rsidR="00015B8F" w:rsidRPr="00C063BC" w:rsidRDefault="00511C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40056650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C063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C063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1.</w:t>
      </w:r>
      <w:r w:rsidR="00E22FBC" w:rsidRPr="00C063BC">
        <w:rPr>
          <w:rFonts w:ascii="Corbel" w:hAnsi="Corbel"/>
          <w:smallCaps w:val="0"/>
          <w:szCs w:val="24"/>
        </w:rPr>
        <w:t>2</w:t>
      </w:r>
      <w:r w:rsidR="00F83B28" w:rsidRPr="00C063BC">
        <w:rPr>
          <w:rFonts w:ascii="Corbel" w:hAnsi="Corbel"/>
          <w:smallCaps w:val="0"/>
          <w:szCs w:val="24"/>
        </w:rPr>
        <w:t>.</w:t>
      </w:r>
      <w:r w:rsidR="00F83B28" w:rsidRPr="00C063BC">
        <w:rPr>
          <w:rFonts w:ascii="Corbel" w:hAnsi="Corbel"/>
          <w:smallCaps w:val="0"/>
          <w:szCs w:val="24"/>
        </w:rPr>
        <w:tab/>
      </w:r>
      <w:r w:rsidRPr="00C063BC">
        <w:rPr>
          <w:rFonts w:ascii="Corbel" w:hAnsi="Corbel"/>
          <w:smallCaps w:val="0"/>
          <w:szCs w:val="24"/>
        </w:rPr>
        <w:t xml:space="preserve">Sposób realizacji zajęć  </w:t>
      </w:r>
    </w:p>
    <w:p w14:paraId="0F893777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063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063B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E2198EA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MS Gothic" w:eastAsia="MS Gothic" w:hAnsi="MS Gothic" w:cs="MS Gothic" w:hint="eastAsia"/>
          <w:b w:val="0"/>
          <w:szCs w:val="24"/>
        </w:rPr>
        <w:t>☐</w:t>
      </w:r>
      <w:r w:rsidRPr="00C063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2A1B9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DF85" w14:textId="77777777" w:rsidR="002F7B77" w:rsidRPr="00C063BC" w:rsidRDefault="002F7B77" w:rsidP="002F7B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1.3 </w:t>
      </w:r>
      <w:r w:rsidRPr="00C063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063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9CBDF8" w14:textId="5108DE7E" w:rsidR="002F7B77" w:rsidRPr="00C063BC" w:rsidRDefault="004B7E15" w:rsidP="002F7B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7B77" w:rsidRPr="00C063BC">
        <w:rPr>
          <w:rFonts w:ascii="Corbel" w:hAnsi="Corbel"/>
          <w:b w:val="0"/>
          <w:smallCaps w:val="0"/>
          <w:szCs w:val="24"/>
        </w:rPr>
        <w:t>aliczenie z oceną</w:t>
      </w:r>
    </w:p>
    <w:p w14:paraId="7CEFB06F" w14:textId="77777777" w:rsidR="00DC370B" w:rsidRPr="00C063BC" w:rsidRDefault="00DC37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231B0559" w14:textId="77777777" w:rsidTr="00745302">
        <w:tc>
          <w:tcPr>
            <w:tcW w:w="9670" w:type="dxa"/>
          </w:tcPr>
          <w:p w14:paraId="51D9944C" w14:textId="7F5BCA85" w:rsidR="0085747A" w:rsidRPr="00C063BC" w:rsidRDefault="00A14001" w:rsidP="002F7B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C063BC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 oraz podstaw makroekonomii, mikroekonomii, marketingu.</w:t>
            </w:r>
          </w:p>
        </w:tc>
      </w:tr>
    </w:tbl>
    <w:p w14:paraId="5EA8E3B9" w14:textId="77777777" w:rsidR="00153C41" w:rsidRPr="00C063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7F3169" w14:textId="77777777" w:rsidR="002F7B77" w:rsidRPr="00C063BC" w:rsidRDefault="002F7B7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F754FB1" w:rsidR="0085747A" w:rsidRPr="00C063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>3.</w:t>
      </w:r>
      <w:r w:rsidR="00A84C85" w:rsidRPr="00C063BC">
        <w:rPr>
          <w:rFonts w:ascii="Corbel" w:hAnsi="Corbel"/>
          <w:szCs w:val="24"/>
        </w:rPr>
        <w:t>cele, efekty uczenia się</w:t>
      </w:r>
      <w:r w:rsidR="0085747A" w:rsidRPr="00C063BC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C063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3.1 </w:t>
      </w:r>
      <w:r w:rsidR="00C05F44" w:rsidRPr="00C063BC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C063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063BC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C063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448E8D7" w14:textId="7F2982CD" w:rsidR="0085747A" w:rsidRPr="00C063BC" w:rsidRDefault="00A14001" w:rsidP="002F7B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Celem głównym jest zapoznanie studentów ze specyfiką analizy rynku w szczególności metod analizy satysfakcji klientów. Cele szczegółowe obejmują w związku z tym: prezentację wybranych metod i narządzi wykorzystywanych w analizie satysfakcji klienta, przedstawienie uwarunkowań satysfakcji klientów, prezentację w/w modeli (emocjonalny, The Equity Theory, The Expectancy-Disconfirmation, jakości usług, Kano, PROSAT) oraz prezentację efektów marketingowych kreowania satysfakcji, w tym lojalności konsumenckiej. Przedstawione zostaną także najczęściej wykorzystywane w praktyce metody i narzędzia z zakresu analizy satysfakcji klientów.</w:t>
            </w:r>
          </w:p>
        </w:tc>
      </w:tr>
    </w:tbl>
    <w:p w14:paraId="63346752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C063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3.2 </w:t>
      </w:r>
      <w:r w:rsidR="001D7B54" w:rsidRPr="00C063BC">
        <w:rPr>
          <w:rFonts w:ascii="Corbel" w:hAnsi="Corbel"/>
          <w:b/>
          <w:sz w:val="24"/>
          <w:szCs w:val="24"/>
        </w:rPr>
        <w:t xml:space="preserve">Efekty </w:t>
      </w:r>
      <w:r w:rsidR="00C05F44" w:rsidRPr="00C063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063BC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C063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063BC" w14:paraId="07881B9F" w14:textId="77777777" w:rsidTr="00A21119">
        <w:tc>
          <w:tcPr>
            <w:tcW w:w="1681" w:type="dxa"/>
            <w:vAlign w:val="center"/>
          </w:tcPr>
          <w:p w14:paraId="6FFF6661" w14:textId="77777777" w:rsidR="0085747A" w:rsidRPr="00C063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063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077918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063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119" w:rsidRPr="00C063BC" w14:paraId="5A23A23A" w14:textId="77777777" w:rsidTr="00A21119">
        <w:tc>
          <w:tcPr>
            <w:tcW w:w="1681" w:type="dxa"/>
          </w:tcPr>
          <w:p w14:paraId="7EF0730B" w14:textId="55190802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97A71B1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Definiuje w szerokim zakresie poj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cia z zakresu nauk ekonomicznych odnosz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popytu, poda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y, efekt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zachodz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pod wp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ywem zmian dochod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i cen oraz innych determinant lojalno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ci, satysfakcji oraz decyzji zakupowych konsument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</w:tc>
        <w:tc>
          <w:tcPr>
            <w:tcW w:w="1865" w:type="dxa"/>
          </w:tcPr>
          <w:p w14:paraId="19688784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21119" w:rsidRPr="00C063BC" w14:paraId="72436E66" w14:textId="77777777" w:rsidTr="00A21119">
        <w:tc>
          <w:tcPr>
            <w:tcW w:w="1681" w:type="dxa"/>
          </w:tcPr>
          <w:p w14:paraId="24136BA8" w14:textId="3C550666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1815C4AE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Prezentuje procesy zmian struktur gospodarczych oraz okre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la ich przyczyny, przebieg i skutki w spos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b wariantowy w kontek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cie zale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ci satysfakcja klienta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>efekty rynkowe i konkurencyjne.</w:t>
            </w:r>
          </w:p>
        </w:tc>
        <w:tc>
          <w:tcPr>
            <w:tcW w:w="1865" w:type="dxa"/>
          </w:tcPr>
          <w:p w14:paraId="162706FA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21119" w:rsidRPr="00C063BC" w14:paraId="2EA7E3BB" w14:textId="77777777" w:rsidTr="00AD7035">
        <w:tc>
          <w:tcPr>
            <w:tcW w:w="1681" w:type="dxa"/>
          </w:tcPr>
          <w:p w14:paraId="2F851940" w14:textId="183F5D8E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026821F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generowania satysfakcji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biorstw.</w:t>
            </w:r>
          </w:p>
        </w:tc>
        <w:tc>
          <w:tcPr>
            <w:tcW w:w="1865" w:type="dxa"/>
          </w:tcPr>
          <w:p w14:paraId="005A98E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21119" w:rsidRPr="00C063BC" w14:paraId="54053321" w14:textId="77777777" w:rsidTr="00AD7035">
        <w:tc>
          <w:tcPr>
            <w:tcW w:w="1681" w:type="dxa"/>
          </w:tcPr>
          <w:p w14:paraId="79D8374D" w14:textId="38FDC9DC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6CE804D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TimesNewRomanPSMT" w:eastAsia="TimesNewRomanPSMT" w:hAnsi="Times New Roman" w:cs="TimesNewRomanPSMT"/>
                <w:sz w:val="24"/>
                <w:szCs w:val="24"/>
                <w:lang w:eastAsia="pl-PL"/>
              </w:rPr>
              <w:t>P</w:t>
            </w:r>
            <w:r w:rsidRPr="00C063BC">
              <w:rPr>
                <w:rFonts w:ascii="Corbel" w:hAnsi="Corbel"/>
                <w:sz w:val="24"/>
                <w:szCs w:val="24"/>
              </w:rPr>
              <w:t>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rozwoju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 z wykorzystaniem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metod i modeli.</w:t>
            </w:r>
          </w:p>
        </w:tc>
        <w:tc>
          <w:tcPr>
            <w:tcW w:w="1865" w:type="dxa"/>
          </w:tcPr>
          <w:p w14:paraId="6B1D099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21119" w:rsidRPr="00C063BC" w14:paraId="79087D0F" w14:textId="77777777" w:rsidTr="00AD7035">
        <w:tc>
          <w:tcPr>
            <w:tcW w:w="1681" w:type="dxa"/>
          </w:tcPr>
          <w:p w14:paraId="66875406" w14:textId="5BD304A1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0AF5E9E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pracowa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w grupie przyjmuj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 w niej 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ne role oraz odpowiedzialno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za realizowane zadania</w:t>
            </w:r>
          </w:p>
        </w:tc>
        <w:tc>
          <w:tcPr>
            <w:tcW w:w="1865" w:type="dxa"/>
          </w:tcPr>
          <w:p w14:paraId="12CDB795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C063BC" w14:paraId="7E4A299C" w14:textId="77777777" w:rsidTr="00A21119">
        <w:trPr>
          <w:trHeight w:val="1122"/>
        </w:trPr>
        <w:tc>
          <w:tcPr>
            <w:tcW w:w="1681" w:type="dxa"/>
          </w:tcPr>
          <w:p w14:paraId="0B986A79" w14:textId="57AD2B7E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13950E9" w14:textId="7C862D3B" w:rsidR="0085747A" w:rsidRPr="00C063BC" w:rsidRDefault="00A14001" w:rsidP="006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Chętnie identyfikuje uwarunkowania procesu, podaje własne rozstrzygnięcia problemu z uwzględnieniem wielokierunkowych skutków gospodarczych i społecznych konfrontując zasoby wiedzy z praktyką gospodarczą</w:t>
            </w:r>
          </w:p>
        </w:tc>
        <w:tc>
          <w:tcPr>
            <w:tcW w:w="1865" w:type="dxa"/>
          </w:tcPr>
          <w:p w14:paraId="3EE1FA3F" w14:textId="3398785B" w:rsidR="0085747A" w:rsidRPr="00C063BC" w:rsidRDefault="00A14001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3BC4745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A3F1B" w14:textId="52FDB743" w:rsidR="0085747A" w:rsidRPr="00C063BC" w:rsidRDefault="00675843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>3.3</w:t>
      </w:r>
      <w:r w:rsidR="0085747A" w:rsidRPr="00C063BC">
        <w:rPr>
          <w:rFonts w:ascii="Corbel" w:hAnsi="Corbel"/>
          <w:b/>
          <w:sz w:val="24"/>
          <w:szCs w:val="24"/>
        </w:rPr>
        <w:t>T</w:t>
      </w:r>
      <w:r w:rsidR="001D7B54" w:rsidRPr="00C063BC">
        <w:rPr>
          <w:rFonts w:ascii="Corbel" w:hAnsi="Corbel"/>
          <w:b/>
          <w:sz w:val="24"/>
          <w:szCs w:val="24"/>
        </w:rPr>
        <w:t xml:space="preserve">reści programowe </w:t>
      </w:r>
    </w:p>
    <w:p w14:paraId="6A6C5C2E" w14:textId="77777777" w:rsidR="002F7B77" w:rsidRPr="00C063BC" w:rsidRDefault="002F7B77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C063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063BC">
        <w:rPr>
          <w:rFonts w:ascii="Corbel" w:hAnsi="Corbel"/>
          <w:sz w:val="24"/>
          <w:szCs w:val="24"/>
        </w:rPr>
        <w:t xml:space="preserve">, </w:t>
      </w:r>
      <w:r w:rsidRPr="00C063BC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C063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6D100B98" w14:textId="77777777" w:rsidTr="00617678">
        <w:tc>
          <w:tcPr>
            <w:tcW w:w="9520" w:type="dxa"/>
          </w:tcPr>
          <w:p w14:paraId="4A991038" w14:textId="77777777" w:rsidR="0085747A" w:rsidRPr="00C063B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063BC" w14:paraId="757D8DA1" w14:textId="77777777" w:rsidTr="00617678">
        <w:tc>
          <w:tcPr>
            <w:tcW w:w="9520" w:type="dxa"/>
          </w:tcPr>
          <w:p w14:paraId="5C229FE8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1. Istota i pomiar warto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klienta</w:t>
            </w:r>
          </w:p>
          <w:p w14:paraId="375D5BBA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2. Satysfakcja klienta jako g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łó</w:t>
            </w:r>
            <w:r w:rsidRPr="00C063BC">
              <w:rPr>
                <w:rFonts w:ascii="Corbel" w:hAnsi="Corbel"/>
                <w:sz w:val="24"/>
                <w:szCs w:val="24"/>
              </w:rPr>
              <w:t>wny czynnik sukcesu organizacji</w:t>
            </w:r>
          </w:p>
          <w:p w14:paraId="1394BD40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3. Zastosowanie rachunku koszt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dzia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oceny rentowno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  <w:p w14:paraId="4C2CE916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 xml:space="preserve">4. Klient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ź</w:t>
            </w:r>
            <w:r w:rsidRPr="00C063BC">
              <w:rPr>
                <w:rFonts w:ascii="Corbel" w:hAnsi="Corbel"/>
                <w:sz w:val="24"/>
                <w:szCs w:val="24"/>
              </w:rPr>
              <w:t>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 satysfakcji (potrzeby konsumpcyjne, modele klasyczne, kognitywne, holistyczne)</w:t>
            </w:r>
          </w:p>
          <w:p w14:paraId="71F6CA9B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5. Modele satysfakcji klient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w (emocjonalny, The Equity Theory, The Expectancy-Disconfirmation, Jako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ci</w:t>
            </w:r>
          </w:p>
          <w:p w14:paraId="23C77F7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us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ug, Kano, PROSAT)</w:t>
            </w:r>
          </w:p>
          <w:p w14:paraId="3770D184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6. Warunki skutecznego zarz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dzania satysfakcj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klienta</w:t>
            </w:r>
          </w:p>
          <w:p w14:paraId="7E228905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7. Funkcje pomiaru satysfakcji klienta</w:t>
            </w:r>
          </w:p>
          <w:p w14:paraId="0DEF7D6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8. Metody pomiaru satysfakcji klienta: bezpo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rednie m.in. Servqual, Servperf, Blueprinting, Storyboarding,</w:t>
            </w:r>
          </w:p>
          <w:p w14:paraId="37A9AFC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QFD, CSR, CSS, TRI*M i po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rednie m.in. mystery shopping, repeat customers, benchmarking</w:t>
            </w:r>
          </w:p>
          <w:p w14:paraId="1B99C73F" w14:textId="03C85DD4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9. B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łę</w:t>
            </w:r>
            <w:r w:rsidRPr="00C063BC">
              <w:rPr>
                <w:rFonts w:ascii="Corbel" w:hAnsi="Corbel"/>
                <w:sz w:val="24"/>
                <w:szCs w:val="24"/>
              </w:rPr>
              <w:t>dy pomiaru satysfakcji klienta</w:t>
            </w:r>
          </w:p>
        </w:tc>
      </w:tr>
    </w:tbl>
    <w:p w14:paraId="44BAFAC0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C063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3.4 Metody dydaktyczne</w:t>
      </w:r>
    </w:p>
    <w:p w14:paraId="39B2C230" w14:textId="5A193E8E" w:rsidR="00617678" w:rsidRPr="00C063BC" w:rsidRDefault="00617678" w:rsidP="002F7B77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 w:hint="eastAsia"/>
          <w:b w:val="0"/>
          <w:smallCaps w:val="0"/>
          <w:szCs w:val="24"/>
        </w:rPr>
        <w:t>Ć</w:t>
      </w:r>
      <w:r w:rsidRPr="00C063BC">
        <w:rPr>
          <w:rFonts w:ascii="Corbel" w:hAnsi="Corbel"/>
          <w:b w:val="0"/>
          <w:smallCaps w:val="0"/>
          <w:szCs w:val="24"/>
        </w:rPr>
        <w:t>wiczenia obejmuj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 xml:space="preserve"> dyskusj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moderowan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, prezentacje multimedialne,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i interpretacj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tekst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 xml:space="preserve">w </w:t>
      </w:r>
      <w:r w:rsidRPr="00C063BC">
        <w:rPr>
          <w:rFonts w:ascii="Corbel" w:hAnsi="Corbel" w:hint="eastAsia"/>
          <w:b w:val="0"/>
          <w:smallCaps w:val="0"/>
          <w:szCs w:val="24"/>
        </w:rPr>
        <w:t>ź</w:t>
      </w:r>
      <w:r w:rsidRPr="00C063BC">
        <w:rPr>
          <w:rFonts w:ascii="Corbel" w:hAnsi="Corbel"/>
          <w:b w:val="0"/>
          <w:smallCaps w:val="0"/>
          <w:szCs w:val="24"/>
        </w:rPr>
        <w:t>r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>d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owych,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zespo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C063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 </w:t>
      </w:r>
      <w:r w:rsidR="0085747A" w:rsidRPr="00C063BC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C063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C063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063BC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063BC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C063BC" w:rsidRDefault="0071620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C063BC" w:rsidRDefault="00F974D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C063BC" w:rsidRDefault="009F4610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1581B25E" w:rsidR="00923D7D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6CA3153" w14:textId="77777777" w:rsidR="0085747A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21119" w:rsidRPr="00C063BC" w14:paraId="218A889D" w14:textId="77777777" w:rsidTr="00F8561D">
        <w:tc>
          <w:tcPr>
            <w:tcW w:w="1962" w:type="dxa"/>
          </w:tcPr>
          <w:p w14:paraId="11C3869A" w14:textId="757C5D16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150F7C5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E20F603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164E4E28" w14:textId="77777777" w:rsidTr="00F8561D">
        <w:tc>
          <w:tcPr>
            <w:tcW w:w="1962" w:type="dxa"/>
          </w:tcPr>
          <w:p w14:paraId="5AA7B95D" w14:textId="3F0C0DB4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6F7F05D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70F0561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60F20122" w14:textId="77777777" w:rsidTr="00617678">
        <w:tc>
          <w:tcPr>
            <w:tcW w:w="1962" w:type="dxa"/>
          </w:tcPr>
          <w:p w14:paraId="234CB1C0" w14:textId="4C767DD8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04BE95E" w14:textId="09E0088D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0B449418" w14:textId="58CBD6BD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18977E27" w14:textId="77777777" w:rsidTr="00617678">
        <w:tc>
          <w:tcPr>
            <w:tcW w:w="1962" w:type="dxa"/>
          </w:tcPr>
          <w:p w14:paraId="6DE7411F" w14:textId="78C69DEF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BBA45E9" w14:textId="4EC92DF9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418DB08" w14:textId="1EF9EFF9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38F7FFE1" w14:textId="77777777" w:rsidTr="00617678">
        <w:tc>
          <w:tcPr>
            <w:tcW w:w="1962" w:type="dxa"/>
          </w:tcPr>
          <w:p w14:paraId="06CF5325" w14:textId="76A5CB30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AB57607" w14:textId="79497FD2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E7DBE3C" w14:textId="7577D8BA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404B4C11" w14:textId="77777777" w:rsidTr="00617678">
        <w:tc>
          <w:tcPr>
            <w:tcW w:w="1962" w:type="dxa"/>
          </w:tcPr>
          <w:p w14:paraId="6A32FA72" w14:textId="5170E9E5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BEE0E0" w14:textId="22A79ABC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5C5CCB6" w14:textId="6B996AE0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3F2259D5" w14:textId="77777777" w:rsidR="00923D7D" w:rsidRPr="00C063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C063B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4.2 </w:t>
      </w:r>
      <w:r w:rsidR="0085747A" w:rsidRPr="00C063BC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0908FDC0" w14:textId="77777777" w:rsidTr="00923D7D">
        <w:tc>
          <w:tcPr>
            <w:tcW w:w="9670" w:type="dxa"/>
          </w:tcPr>
          <w:p w14:paraId="6F541DD2" w14:textId="4150DD8D" w:rsidR="0085747A" w:rsidRPr="00C063BC" w:rsidRDefault="000705C5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Na ocenę końcową składają się w 70% ocena projektu i w 30% ocena z kolokwium pisemnego. Warunkiem zaliczenia kolokwium jest uzyskanie minimum 51% możliwych do uzyskania punktów.</w:t>
            </w:r>
          </w:p>
        </w:tc>
      </w:tr>
    </w:tbl>
    <w:p w14:paraId="38FB56FD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C063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5. </w:t>
      </w:r>
      <w:r w:rsidR="00C61DC5" w:rsidRPr="00C063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063BC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063BC" w14:paraId="520183F7" w14:textId="77777777" w:rsidTr="00923D7D">
        <w:tc>
          <w:tcPr>
            <w:tcW w:w="4962" w:type="dxa"/>
          </w:tcPr>
          <w:p w14:paraId="7AB4FC85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G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063B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063B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063B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063B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4668153B" w:rsidR="0085747A" w:rsidRPr="00C063BC" w:rsidRDefault="00511C19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C063BC" w14:paraId="324EBA24" w14:textId="77777777" w:rsidTr="00923D7D">
        <w:tc>
          <w:tcPr>
            <w:tcW w:w="4962" w:type="dxa"/>
          </w:tcPr>
          <w:p w14:paraId="1F307180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1C1F9EC2" w:rsidR="00C61DC5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063BC" w14:paraId="0260198A" w14:textId="77777777" w:rsidTr="00923D7D">
        <w:tc>
          <w:tcPr>
            <w:tcW w:w="4962" w:type="dxa"/>
          </w:tcPr>
          <w:p w14:paraId="07AE6102" w14:textId="7BCA98DD" w:rsidR="00C61DC5" w:rsidRPr="00C063BC" w:rsidRDefault="00C61DC5" w:rsidP="004B7E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B7E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7D5544B1" w:rsidR="00C61DC5" w:rsidRPr="00C063BC" w:rsidRDefault="00511C19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C063BC" w14:paraId="73A08678" w14:textId="77777777" w:rsidTr="00923D7D">
        <w:tc>
          <w:tcPr>
            <w:tcW w:w="4962" w:type="dxa"/>
          </w:tcPr>
          <w:p w14:paraId="3BC07689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6A891CB1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063BC" w14:paraId="6BCFFE95" w14:textId="77777777" w:rsidTr="00923D7D">
        <w:tc>
          <w:tcPr>
            <w:tcW w:w="4962" w:type="dxa"/>
          </w:tcPr>
          <w:p w14:paraId="705394BD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291E9EF3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063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063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C063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C063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6. </w:t>
      </w:r>
      <w:r w:rsidR="0085747A" w:rsidRPr="00C063BC">
        <w:rPr>
          <w:rFonts w:ascii="Corbel" w:hAnsi="Corbel"/>
          <w:smallCaps w:val="0"/>
          <w:szCs w:val="24"/>
        </w:rPr>
        <w:t>PRAKTYKI ZAWO</w:t>
      </w:r>
      <w:r w:rsidR="009D3F3B" w:rsidRPr="00C063BC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063BC" w14:paraId="7B788A6E" w14:textId="77777777" w:rsidTr="002F7B77">
        <w:trPr>
          <w:trHeight w:val="397"/>
        </w:trPr>
        <w:tc>
          <w:tcPr>
            <w:tcW w:w="4082" w:type="dxa"/>
          </w:tcPr>
          <w:p w14:paraId="552C631C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2DB6F51A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063BC" w14:paraId="13F39477" w14:textId="77777777" w:rsidTr="002F7B77">
        <w:trPr>
          <w:trHeight w:val="397"/>
        </w:trPr>
        <w:tc>
          <w:tcPr>
            <w:tcW w:w="4082" w:type="dxa"/>
          </w:tcPr>
          <w:p w14:paraId="5A638E94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5EE5B9D7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C063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7. </w:t>
      </w:r>
      <w:r w:rsidR="0085747A" w:rsidRPr="00C063BC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063BC" w14:paraId="52B5D54C" w14:textId="77777777" w:rsidTr="163EB696">
        <w:trPr>
          <w:trHeight w:val="397"/>
        </w:trPr>
        <w:tc>
          <w:tcPr>
            <w:tcW w:w="9497" w:type="dxa"/>
          </w:tcPr>
          <w:p w14:paraId="0E2CFBB3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B1E69D" w14:textId="3E4A04CB" w:rsidR="00B55C0A" w:rsidRPr="00C063BC" w:rsidRDefault="00B55C0A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G. Biesok, 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Wyród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-Wróbel, Modele satysfakcji klienta, 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B6BD421" w14:textId="38A6B098" w:rsidR="00617678" w:rsidRPr="00C063BC" w:rsidRDefault="001569C6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L. Nie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urawski, B. Paw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owska, J. Witkowska, Satysfakcja klienta, strategia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pomiar 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dzanie, WN Uniwersytet Miko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aja Kopernika, Toru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, 2010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063BC" w14:paraId="26447059" w14:textId="77777777" w:rsidTr="163EB696">
        <w:trPr>
          <w:trHeight w:val="397"/>
        </w:trPr>
        <w:tc>
          <w:tcPr>
            <w:tcW w:w="9497" w:type="dxa"/>
          </w:tcPr>
          <w:p w14:paraId="05DD56B5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98CC6D" w14:textId="6DD190AE" w:rsidR="00617678" w:rsidRPr="00C063BC" w:rsidRDefault="001569C6" w:rsidP="5C21C7A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>M. Chłodnicki, W. Jagodziński, J. Kamieński, A. Karel, W. Lawniczak, A. Pluciński, B. Stawski, M. Tarnawska, Service design po polsku : jak przyciągnąć, zadowolić i zatrzymać klientów, Wydawnictwo Naukowe PWN, Warszawa, 2020</w:t>
            </w:r>
            <w:r w:rsidR="002F7B77" w:rsidRPr="00C063BC">
              <w:rPr>
                <w:rFonts w:ascii="Corbel" w:hAnsi="Corbel"/>
                <w:b w:val="0"/>
                <w:smallCaps w:val="0"/>
              </w:rPr>
              <w:t>.</w:t>
            </w:r>
          </w:p>
          <w:p w14:paraId="2A824D1B" w14:textId="60DF5515" w:rsidR="00617678" w:rsidRPr="00C063BC" w:rsidRDefault="320736C0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Uwarunkowania i wykorzystanie marketing intelligence w przedsiębiorstwach sektora MŚP,  Przedsiębiorczość i Zarządzanie, </w:t>
            </w:r>
            <w:r w:rsidR="38A23659" w:rsidRPr="00C063BC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C063BC">
              <w:rPr>
                <w:rFonts w:ascii="Corbel" w:hAnsi="Corbel"/>
                <w:b w:val="0"/>
                <w:smallCaps w:val="0"/>
              </w:rPr>
              <w:t>tom XXVIII, Zeszyt. 4, cz. 1,  s. 103-117.</w:t>
            </w:r>
          </w:p>
          <w:p w14:paraId="24C4A040" w14:textId="542F3AC8" w:rsidR="00617678" w:rsidRPr="00C063BC" w:rsidRDefault="7362518E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Wykorzystanie marketingu w kreowaniu satysfakcji i lojalności klientów,  Marketing i Rynek, </w:t>
            </w:r>
            <w:r w:rsidR="2402E1D8" w:rsidRPr="00C063BC">
              <w:rPr>
                <w:rFonts w:ascii="Corbel" w:hAnsi="Corbel"/>
                <w:b w:val="0"/>
                <w:smallCaps w:val="0"/>
              </w:rPr>
              <w:t xml:space="preserve">2014, </w:t>
            </w:r>
            <w:r w:rsidRPr="00C063BC">
              <w:rPr>
                <w:rFonts w:ascii="Corbel" w:hAnsi="Corbel"/>
                <w:b w:val="0"/>
                <w:smallCaps w:val="0"/>
              </w:rPr>
              <w:t>nr 8 (CD), s. 1052-1059.</w:t>
            </w:r>
          </w:p>
        </w:tc>
      </w:tr>
    </w:tbl>
    <w:p w14:paraId="2A96C98B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063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8A1D99" w14:textId="77777777" w:rsidR="00CB101E" w:rsidRDefault="00CB101E" w:rsidP="00C16ABF">
      <w:pPr>
        <w:spacing w:after="0" w:line="240" w:lineRule="auto"/>
      </w:pPr>
      <w:r>
        <w:separator/>
      </w:r>
    </w:p>
  </w:endnote>
  <w:endnote w:type="continuationSeparator" w:id="0">
    <w:p w14:paraId="1E2C069E" w14:textId="77777777" w:rsidR="00CB101E" w:rsidRDefault="00CB10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727E82" w14:textId="77777777" w:rsidR="00CB101E" w:rsidRDefault="00CB101E" w:rsidP="00C16ABF">
      <w:pPr>
        <w:spacing w:after="0" w:line="240" w:lineRule="auto"/>
      </w:pPr>
      <w:r>
        <w:separator/>
      </w:r>
    </w:p>
  </w:footnote>
  <w:footnote w:type="continuationSeparator" w:id="0">
    <w:p w14:paraId="75226A30" w14:textId="77777777" w:rsidR="00CB101E" w:rsidRDefault="00CB101E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164ED"/>
    <w:multiLevelType w:val="hybridMultilevel"/>
    <w:tmpl w:val="5B5670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E29BB"/>
    <w:multiLevelType w:val="hybridMultilevel"/>
    <w:tmpl w:val="29CA8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270411"/>
    <w:multiLevelType w:val="hybridMultilevel"/>
    <w:tmpl w:val="4B045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5C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9C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781"/>
    <w:rsid w:val="002A671D"/>
    <w:rsid w:val="002B4D55"/>
    <w:rsid w:val="002B5EA0"/>
    <w:rsid w:val="002B6119"/>
    <w:rsid w:val="002C1D4C"/>
    <w:rsid w:val="002C1F06"/>
    <w:rsid w:val="002D3375"/>
    <w:rsid w:val="002D73D4"/>
    <w:rsid w:val="002F02A3"/>
    <w:rsid w:val="002F4ABE"/>
    <w:rsid w:val="002F7B77"/>
    <w:rsid w:val="003018BA"/>
    <w:rsid w:val="00302EF7"/>
    <w:rsid w:val="0030395F"/>
    <w:rsid w:val="00305C92"/>
    <w:rsid w:val="003151C5"/>
    <w:rsid w:val="00327B4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E15"/>
    <w:rsid w:val="004D5282"/>
    <w:rsid w:val="004F1551"/>
    <w:rsid w:val="004F55A3"/>
    <w:rsid w:val="0050496F"/>
    <w:rsid w:val="00511C19"/>
    <w:rsid w:val="00513B6F"/>
    <w:rsid w:val="00517C63"/>
    <w:rsid w:val="005363C4"/>
    <w:rsid w:val="00536BDE"/>
    <w:rsid w:val="00543ACC"/>
    <w:rsid w:val="0056696D"/>
    <w:rsid w:val="00577E5E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5FCC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7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755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111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C0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063B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BB4"/>
    <w:rsid w:val="00C766DF"/>
    <w:rsid w:val="00C94B98"/>
    <w:rsid w:val="00CA2B96"/>
    <w:rsid w:val="00CA5089"/>
    <w:rsid w:val="00CA56E5"/>
    <w:rsid w:val="00CB101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370B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18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3EB696"/>
    <w:rsid w:val="2402E1D8"/>
    <w:rsid w:val="2CA7E72A"/>
    <w:rsid w:val="320736C0"/>
    <w:rsid w:val="38A23659"/>
    <w:rsid w:val="418A2704"/>
    <w:rsid w:val="466BC981"/>
    <w:rsid w:val="58EA26E8"/>
    <w:rsid w:val="5C21C7AA"/>
    <w:rsid w:val="7362518E"/>
    <w:rsid w:val="7F8B5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4A6738-4AB1-4411-9F41-7EA6774CF6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F8D554-4C49-4C81-B47C-3E23CFD576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01CC45-01EE-4200-984D-F3D7D74015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DF4B56-E310-4293-9A38-82437610F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931</Words>
  <Characters>5587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2020-12-13T20:39:00Z</dcterms:created>
  <dcterms:modified xsi:type="dcterms:W3CDTF">2020-12-13T20:40:00Z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